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354</w:t>
      </w:r>
    </w:p>
    <w:p>
      <w:r>
        <w:t>Bundesgericht (BGE), 2023-08-17, DE</w:t>
      </w:r>
    </w:p>
    <w:p>
      <w:r>
        <w:rPr>
          <w:b/>
        </w:rPr>
        <w:t xml:space="preserve">Quelle: </w:t>
      </w:r>
      <w:r>
        <w:t>https://mcp.opencaselaw.ch/entscheid/bge_149 II 354</w:t>
      </w:r>
    </w:p>
    <w:p>
      <w:r>
        <w:t>FR: ATF 149 II 354</w:t>
      </w:r>
    </w:p>
    <w:p>
      <w:r>
        <w:t>IT: DTF 149 II 354</w:t>
      </w:r>
    </w:p>
    <w:p>
      <w:pPr>
        <w:pStyle w:val="Heading2"/>
      </w:pPr>
      <w:r>
        <w:t>Regeste</w:t>
      </w:r>
    </w:p>
    <w:p>
      <w:r>
        <w:t>Regeste Art. 127 Abs. 3 BV; Art. 89 Abs. 1 und Art. 100 Abs. 5 BGG; keine Verwirkung des Beschwerderechts im Bereich der interkantonalen Doppelbesteuerung (Praxisänderung). In Anbetracht der veränderten Sach- und Rechtslage wird die Praxis zur prozessrechtlichen Verwirkung des Beschwerderechts in Fällen der interkantonalen Doppelbesteuerung aufgegeben (Präxisänderung; E. 2). Auch auf materiell-rechtlicher Ebene ist das verfassungsmässige Verbot der interkantonalen Doppelbesteuerung (Art. 127 Abs. 3 BV) grundsätzlich streng durchzusetzen. Vorbehalten bleiben nur gewisse Fälle qualifiziert missbräuchlichen Verhaltens (E. 4). Im Übrigen kann das Bundesgericht treuwidrigem Verhalten bei der Verlegung der Kosten- und Entschädigungsfolgen Rechnung tragen (E. 2.5.1 und 5.2).</w:t>
      </w:r>
    </w:p>
    <w:p>
      <w:pPr>
        <w:pStyle w:val="Heading2"/>
      </w:pPr>
      <w:r>
        <w:t>Erwägungen</w:t>
      </w:r>
    </w:p>
    <w:p>
      <w:r>
        <w:rPr>
          <w:b/>
        </w:rPr>
        <w:t>E. 2</w:t>
      </w:r>
    </w:p>
    <w:p>
      <w:r>
        <w:t>Der Kanton Schwyz macht geltend, die Beschwerdeführer hätten ihr Beschwerderecht verwirkt. Die Beschwerdeführer bestreiten dies, weil sie sich nicht geradezu rechtsmissbräuchlich oder treuwidrig verhalten hätten.</w:t>
      </w:r>
    </w:p>
    <w:p>
      <w:r>
        <w:rPr>
          <w:b/>
        </w:rPr>
        <w:t>E. 2.1</w:t>
      </w:r>
    </w:p>
    <w:p>
      <w:r>
        <w:t>Nach der bisherigen Rechtsprechung verwirkt der Steuerpflichtige das Beschwerderecht bzw. das Recht zur Anfechtung der BGE 149 II 354 S. 357 (rechtskräftigen) kantonalen Veranlagung, wenn er seine Steuerpflicht in einem Kanton in Kenntnis des kollidierenden Steueranspruchs des anderen Kantons vorbehaltslos anerkennt. Von einer vorbehaltlosen Anerkennung geht die Praxis insbesondere aus, wenn sich der Steuerpflichtige der Veranlagung ausdrücklich oder stillschweigend unterwirft (vorbehaltlose Abgabe einer Steuererklärung), die geforderten Steuerbeträge vorbehaltslos bezahlt und die Einsprache bzw. Einlegung weiterer Rechtsmittel unterlässt ( BGE 147 I 325 E. 4.2.1; BGE 137 I 273 E. 3.3.3; je mit Hinweisen). Eine solche Verwirkung wird indessen nicht von Amtes wegen berücksichtigt, sondern muss von den betroffenen Behörden bzw. Kantonen geltend gemacht werden ( BGE 147 I 325 E. 4.2.1; BGE 137 I 273 E. 3.3.3). In einem Leiturteil aus dem Jahr 2020 hat das Bundesgericht klargestellt, dass ausserhalb der vorbehaltlosen Anerkennung des Steueranspruchs eine Verwirkung des Beschwerderechts entsprechend dem Charakter des Doppelbesteuerungsverbots als verfassungsmässiges Recht nur mit Zurückhaltung anzunehmen ist, nämlich dann, wenn sich das Verhalten der Steuerpflichtigen als geradezu rechtsmissbräuchlich bzw. treuwidrig darstellt ( BGE 147 I 325 E. 4.2.1). Die steuerpflichtige Person verhält sich gegenüber dem ersten Kanton insbesondere dann treuwidrig, wenn sie diesem gegenüber bewusst falsche Angaben gemacht hat (Urteil 2C_592/2018 vom 1. Oktober 2019 E. 6.4 und 6.6). Hingegen verhält sich eine steuerpflichtige Person noch nicht treuwidrig, wenn sie beim Kanton, gegen dessen Besteuerung sie sich schliesslich wehrt, zuvor eine unvollständige Anfrage für ein Steuerruling gestellt hat oder wenn sie den erstveranlagenden Kanton lediglich nicht über den kollidierenden Steueranspruch des anderen Kantons informiert, solange sie von diesem Steueranspruch keine gesicherte Kenntnis hat, sondern lediglich damit rechnen muss ( BGE 147 I 325 E. 4.4.2 und 4.4.3).</w:t>
      </w:r>
    </w:p>
    <w:p>
      <w:r>
        <w:rPr>
          <w:b/>
        </w:rPr>
        <w:t>E. 2.2</w:t>
      </w:r>
    </w:p>
    <w:p>
      <w:r>
        <w:t>Die Lehre steht der Verwirkung des Beschwerderechts spätestens seit Inkrafttreten des BGG skeptisch gegenüber (vgl. bereits unter altem Recht kritisch PETER LOCHER, Die Staatsrechtliche Beschwerde wegen Verletzung von Art. 46 Abs. 2 BV , ZBl 91/1990 S. 109; vgl. zur Rechtslage nach BGG BRUNNER/BEUSCH, in: Interkantonales Steuerrecht, Kommentar zum Schweizerischen Steuerrecht, 2. Aufl. 2021, § 42 N. 6 und 14; RAPHAËL GANI, Analyse de la jurisprudence du Tribunal fédéral en matière de double imposition intercantonale dans le deuxième semestre 2019, ASA 88 S. 883; PETER LOCHER, Einführung in das interkantonale Steuerrecht BGE 149 II 354 S. 358 [nachfolgend: Einführung], 4. Aufl. 2015, S. 153; OLIVIER MARGRAF, Interkantonales Verfahrensrecht der direkten Steuern, 2023, S. 217 und 291; XAVIER OBERSON, Droit fiscal suisse, 5. Aufl. 2021, § 23 Rz. 91; DANIEL DE VRIES-REILINGH, Doppelbesteuerung als mögliche Sanktion im interkantonalen Verhältnis - Besprechung des BGer 17.7.2017, 2C_655/2016, IFF Forum für Steuerrecht [FStR] 2019 S. 46 f.). Im Einklang mit dieser Skepsis hat auch das zitierte Leiturteil BGE 147 I 325 in der Literatur nur ein gemischtes Echo gefunden. Einhellig begrüsst wurde zwar, dass das Bundesgericht die Verwirkung des Beschwerderechts aufgrund treuwidrigen Verhaltens nur mit Zurückhaltung angenommen und damit gegenläufigen Tendenzen in seiner jüngeren Rechtsprechung Einhalt geboten habe (vgl. ANDREA PEDROLI, Novità giurisprudenziali nel campo del diritto tributario, RtiD 2021 II S. 566; FELIX RICHNER, Kommentar zu 2C_552/2019, Zürcher Steuerpraxis [ZStP] 2020 S. 315; BASTIAN THURNEYSEN, Steuerhoheit bei fehlender Geschäftstätigkeit und Verwirkung des Beschwerderechts, iusNet StR 1. Dezember 2020). Verschiedene Autoren bedauerten aber, dass sich das Bundesgericht in diesem Urteil nicht gänzlich vom Institut der Verwirkung des Beschwerderechts verabschiedet hat. Missbräuchlichem Verhalten sei auf materiell-rechtlicher Ebene zu begegnen (vgl. BRUNNER/BEUSCH, a.a.O., § 42 N. 17; DANIEL DE VRIES-REILINGH, Vom Hauptsteuerdomizil juristischer Personen und vom "Wandel" der Verwirkungseinrede zum Missbrauchsverbot im interkantonalen Steuerrecht, FStR 2021 S. 362).</w:t>
      </w:r>
    </w:p>
    <w:p>
      <w:r>
        <w:rPr>
          <w:b/>
        </w:rPr>
        <w:t>E. 2.3</w:t>
      </w:r>
    </w:p>
    <w:p>
      <w:r>
        <w:t>Die Kritik der Lehre am von der Praxis geschaffenen prozessrechtlichen Institut der Verwirkung des Beschwerderechts ist bedenkenswert. Das Bundesgericht hat sich damit weder in BGE 147 I 325 noch in seiner früheren Rechtsprechung vertieft auseinandergesetzt. Eine Änderung der Rechtsprechung müsste sich indessen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149 V 177 E. 4.5; BGE 147 V 342 E. 5.5.1; BGE 146 I 105 E. 5.2.2; BGE 145 I 227 E. 4). Es ist zu prüfen, ob diese Voraussetzungen hier erfüllt sind. BGE 149 II 354 S. 359</w:t>
      </w:r>
    </w:p>
    <w:p>
      <w:r>
        <w:rPr>
          <w:b/>
        </w:rPr>
        <w:t>E. 2.3.1</w:t>
      </w:r>
    </w:p>
    <w:p>
      <w:r>
        <w:t>Dazu ist zunächst ein Blick auf die Ursprünge der Verwirkungspraxis zu werfen: Bereits 1876 - also nur zwei Jahre nachdem der Verfassungsgeber von 1874 das Bundesgericht mit der Lösung der interkantonalen Doppelbesteuerungskonflikte betraut hatte - hatte das Bundesgericht zum ersten Mal festgehalten, dass das Beschwerderecht verwirkt, wenn gegen eine Veranlagung nicht rechtzeitig Rechtsmittel ergriffen wird (vgl. BGE 2 I 184 E. 2; vgl. auch BGE 28 I 119 E. 3 ;</w:t>
      </w:r>
    </w:p>
    <w:p>
      <w:r>
        <w:rPr>
          <w:b/>
        </w:rPr>
        <w:t>E. 2.3.2</w:t>
      </w:r>
    </w:p>
    <w:p>
      <w:r>
        <w:t>Auch in verfahrensrechtlicher Hinsicht hat sich die Ausgangslage im Lauf der Jahre stark gewandelt: Art. 86 Abs. 1 lit. d BGG sieht, anders als das Bundesrechtspflegegesetz (Art. 86 Abs. 2 des Bundesgesetzes vom 16. Dezember 1943 über die Organisation der Bundesrechtspflege [OG; AS 60 271]), keine Ausnahme von der Regel der Erschöpfung des kantonalen Instanzenzugs vor. Daraus hat das Bundesgericht geschlossen, dass im Geltungsbereich des BGG keine direkte Doppelbesteuerungsbeschwerde beim Bundesgericht mehr möglich ist und der Instanzenzug zwingend in mindestens einem Kanton durchlaufen werden muss (vgl. BGE 139 II 373 E. 1.4; BGE 133 I 308 E. 2.3; BGE 133 I 300 E. 2.3 und 2.4). Nach einigen Autoren wäre diese verfahrensrechtliche Änderung alleine schon Grund genug, um von der Verwirkung des Beschwerderechts Abstand zu nehmen, weil die Verwirkung des Beschwerderechts eng mit der Möglichkeit der direkten ("Sprung"-)Beschwerde beim Bundesgericht verbunden gewesen sei; dem Verhalten der steuerpflichtigen Person könne nunmehr im kantonalen Verfahren Rechnung getragen werden (vgl. LOCHER, Einführung, a.a.O., S. 153; vgl. auch BRUNNER/BEUSCH, a.a.O., § 42 N. 6 und 14, die auf die Möglichkeit der Kostenauflage hinweisen). Aus Art. 100 Abs. 5 BGG , wonach die Beschwerdefrist bei Beschwerden wegen interkantonaler Kompetenzkonflikte spätestens zu laufen beginnt, wenn in beiden Kantonen beim Bundesgericht anfechtbare Entscheide getroffen worden sind, leiten andere Autoren ab, der Gesetzgeber habe gerade vermeiden wollen, dass die steuerpflichtige Person ihre Veranlagung in allen Kantonen anfechten müsse. Dieses Anliegen werde konterkariert, wenn die steuerpflichtige Person ihr Beschwerderecht gegen den erstveranlagenden Kanton verwirke, bloss weil sie dort kein Rechtsmittel erhoben habe (GANI, a.a.O., S. 883; MARTIN KOCHER, in: Interkantonales Steuerrecht, Kommentar zum Schweizerischen BGE 149 II 354 S. 361 Steuerrecht, 2. Aufl. 2021, § 44 N. 546; vgl. auch OBERSON, a.a.O., § 23 Rz. 91).</w:t>
      </w:r>
    </w:p>
    <w:p>
      <w:r>
        <w:rPr>
          <w:b/>
        </w:rPr>
        <w:t>E. 2.3.3</w:t>
      </w:r>
    </w:p>
    <w:p>
      <w:r>
        <w:t>In praktischer Hinsicht fällt schliesslich ins Gewicht, dass die kantonale Steuerlast vor allem auf hohen Einkommen heute wesentlich schwerer wiegen dürfte als am Ende des 19. und zu Beginn des 20. Jahrhunderts. Damals erhoben viele Kantone nämlich nur Vermögens- und noch keine allgemeinen, progressiven Einkommenssteuern (vgl. KATHRIN KLETT, Progressive Einkommenssteuer und Leistungsfähigkeitsgrundsatz in der Schweiz - 100 Jahre nach Georg Schanz, in: Die Steuerrechtsordnung in der Diskussion, Festschrift für Klaus Tipke zum 70. Geburtstag, 1995, S. 602 ff.). Die Verwirkung des Beschwerderechts und die daraus resultierende interkantonale Doppelbesteuerung treffen die steuerpflichtigen Personen demnach im Schnitt heute deutlich härter als zu Beginn dieser Rechtsprechung. Umgekehrt sind die Veranlagung und die Rückerstattung von zu Unrecht bezogenen Steuern für die Kantone heute dank der Automatisierung der administrativen Prozesse mit bedeutend weniger Umtrieben verbunden, als dies früher der Fall war. Die Steuern, welche die Kantone im Fall der Verwirkung des Beschwerderechts einbehalten dürfen, obschon sie eigentlich kein Besteuerungsrecht hätten, werden deshalb den Veranlagungs- und Rückerstattungsaufwand, den die steuerpflichtige Person verursacht hat, in aller Regel bei weitem übersteigen.</w:t>
      </w:r>
    </w:p>
    <w:p>
      <w:r>
        <w:rPr>
          <w:b/>
        </w:rPr>
        <w:t>E. 2.4</w:t>
      </w:r>
    </w:p>
    <w:p>
      <w:r>
        <w:t>Wie die vorstehenden Erwägungen zeigen, hat sich die verfassungs- und die prozessrechtliche Situation seit der ursprünglichen Entwicklung der Verwirkungspraxis stark verändert. Zudem trifft die interkantonale Doppelbesteuerung die betroffenen Personen heute deutlich stärker als Ende des 19. und zu Beginn des 20. Jahrhunderts, während das Schutzbedürfnis der Kantone abgenommen hat. Dass das Bundesgericht in BGE 147 I 325 das prozessrechtliche Institut der Verwirkung des Beschwerderechts noch nicht grundsätzlich infrage gestellt hat, steht einer Praxisänderung im vorliegenden Fall ebenfalls nicht entgegen. Dort hatte das Bundesgericht nur eine spezifische Verhaltensweise zu beurteilen, die es schliesslich für nicht (hinreichend) treuwidrig hielt und demgemäss keine Verwirkung annahm ( BGE 147 I 325 E. 4.4.3). Demgegenüber steht hier nunmehr die klassische Verwirkungskonstellation (Anerkennung des Steueranspruchs eines Kantons in Kenntnis des kollidierenden Anspruchs eines anderen Kantons; vgl. BGE 147 I 325 E. 4.2.1) BGE 149 II 354 S. 362 zur Diskussion, weshalb sich eine grundsätzliche Überprüfung der Verwirkungspraxis aufdrängt.</w:t>
      </w:r>
    </w:p>
    <w:p>
      <w:r>
        <w:rPr>
          <w:b/>
        </w:rPr>
        <w:t>E. 2.5</w:t>
      </w:r>
    </w:p>
    <w:p>
      <w:r>
        <w:t>Aufgrund der nachfolgenden Überlegungen sowie der in der Literatur (vgl. oben E. 2.2 und 2.3.2) vorgetragenen Argumente erweist sich die Verwirkung des Beschwerderechts nicht länger als verhältnismässige Massnahme, um treuwidrigem Verhalten einer steuerpflichtigen Person im interkantonalen Verhältnis zu begegnen (anders noch Urteil 2C_274/2019 vom 13. September 2019 E. 4.3.2).</w:t>
      </w:r>
    </w:p>
    <w:p>
      <w:r>
        <w:rPr>
          <w:b/>
        </w:rPr>
        <w:t>E. 2.5.1</w:t>
      </w:r>
    </w:p>
    <w:p>
      <w:r>
        <w:t>Die Verwirkung des Beschwerderechts bezweckt in erster Linie den Schutz des erstveranlagenden Kantons. Dieser hat zwar ein legitimes Interesse daran, keinen unnötigen Veranlagungs- oder sonstigen Aufwand betreiben zu müssen. Dieses Interesse rechtfertigt es aber nicht, diesen Kanton durch Annahme der Verwirkung des Beschwerderechts bezogene Steuern behalten zu lassen, zu deren Erhebung er nach harmonisiertem kantonalen Recht oder doppelbesteuerungsrechtlich nicht berechtigt ist, insbesondere wenn diese Steuern in keiner vernünftigen Relation zum verursachten Aufwand stehen. Stattdessen kann diesem Interesse Rechnung getragen werden, indem die steuerpflichtige Person im bundesgerichtlichen Verfahren ausnahmsweise verpflichtet wird, den erstveranlagenden Kanton für den verursachten Verfahrensaufwand zu entschädigen ( Art. 68 Abs. 3 und 5 BGG ; BRUNNER/BEUSCH, a.a.O., § 42 N. 14).</w:t>
      </w:r>
    </w:p>
    <w:p>
      <w:r>
        <w:rPr>
          <w:b/>
        </w:rPr>
        <w:t>E. 2.5.2</w:t>
      </w:r>
    </w:p>
    <w:p>
      <w:r>
        <w:t>Wesentlich schwerer als das Interesse des erstveranlagenden Kantons wiegt ohnehin das Interesse des zweitveranlagenden, zur Besteuerung effektiv berechtigten Kantons daran, dass sich steuerpflichtige Personen ihrer kantonalen Steuerpflicht nicht entziehen, indem sie eine Steuerpflicht in einem anderen Kanton vorspiegeln. In einigen jüngeren Urteilen hat das Bundesgericht gerade mit Blick auf dieses Interesse des berechtigten Kantons die Verwirkung des Beschwerderechts angenommen respektive die Beseitigung der Doppelbesteuerung verweigert (vgl. vor allem Urteil 2C_655/2016 vom 17. Juli 2017 E. 2.4.2; ausserdem Urteile 2C_663/2019 vom 26. März 2020 E. 2.3.1, in: StE 2020 A 24.5 Nr. 8; 2C_274/2019 vom 13. September 2019 E. 4.3.1, in: StE 2020 A 24.5 Nr. 7). Um der Besteuerung durch den berechtigten Kanton zu entgehen, wird sich die steuerpflichtige Person allerdings selten damit begnügen können, die Besteuerung durch einen unberechtigten Kanton vorbehaltlos zu akzeptieren. Vielmehr wird sie typischerweise zusätzliche Vorkehrungen treffen müssen, etwa indem sie den Behörden BGE 149 II 354 S. 363 falsche oder unvollständige Auskünfte erteilt. Gesamthaft betrachtet besteht das missbräuchliche Verhalten also regelmässig darin, dass die steuerpflichtige Person versucht, den einen Kanton gegen den anderen auszuspielen. Damit beeinträchtigt sie typischerweise in erster Linie nicht die Interessen des erstveranlagenden Kantons, sondern jene desjenigen Kantons, dessen berechtigter, gesetzmässiger Besteuerung sie sich entziehen will. Der legitime Steueranspruch dieses Kantons lässt sich nun aber nicht sachgerecht und wirksam schützen, indem der steuerpflichtigen Person das Recht zur Beschwerde gegen den unberechtigten Kanton respektive das verfassungsmässige Recht auf Beseitigung der Doppelbesteuerung entzogen wird. Denn davon profitiert in erster Linie der andere Kanton, der gerade keinen legitimen Steueranspruch hat.</w:t>
      </w:r>
    </w:p>
    <w:p>
      <w:r>
        <w:rPr>
          <w:b/>
        </w:rPr>
        <w:t>E. 2.5.3</w:t>
      </w:r>
    </w:p>
    <w:p>
      <w:r>
        <w:t>Der zur Besteuerung berechtigte Kanton ist dem Fehlverhalten von steuerpflichtigen Personen aber auch im interkantonalen Verhältnis nicht hilflos ausgeliefert. Denn solches Fehlverhalten - vor allem die fehlerhafte Deklaration oder die Erteilung falscher oder unvollständiger Auskünfte - wird regelmässig den Tatbestand der versuchten Steuerhinterziehung erfüllen (vgl. Art. 56 Abs. 2 des Bundesgesetzes vom 14. Dezember 1990 über die Harmonisierung der direkten Steuern der Kantone und Gemeinden [StHG; SR 642.14] ). Darauf wurde in der Literatur bereits zutreffend hingewiesen (PEDROLI, a.a.O., S. 567).</w:t>
      </w:r>
    </w:p>
    <w:p>
      <w:r>
        <w:rPr>
          <w:b/>
        </w:rPr>
        <w:t>E. 2.6</w:t>
      </w:r>
    </w:p>
    <w:p>
      <w:r>
        <w:t>Da die Praxis zur Verwirkung des Beschwerderechts nach dem Gesagten aufzugeben ist, erweist sich die Verwirkungseinrede des Kantons Schwyz von vornherein als unbegründet. Ob sich das angebliche treuwidrige Verhalten der Beschwerdeführer auf die vorbehaltlose Anerkennung des Steueranspruchs beschränkt hat oder ihnen darüber hinaus weiteres treuwidriges Verhalten vorzuwerfen ist, stellt folglich jedenfalls keine Frage der Zulässigkeit der Beschwerde dar. Auf die Beschwerde ist einzutreten. (...) 4. 4.1 Bereits im Verfahren vor dem Verwaltungsgericht des Kantons St. Gallen war nicht streitig, dass die Beschwerdeführer ihren Wohnsitz am Ende der streitbetroffenen Steuerperiode im Kanton St. Gallen hatten und folglich nach harmonisiertem kantonalen Steuerrecht dort und nicht im Kanton Schwyz unbeschränkt steuerpflichtig waren (vgl. Art. 13 Abs. 1 des Steuergesetzes des Kantons St. Gallen BGE 149 II 354 S. 364 vom 9. April 1998 [StG/SG; sGS 811.1]; § 4 Abs. 1 des Steuergesetzes des Kantons Schwyz vom 9. Februar 2000 [StG/SZ; SRSZ 172.200]; Art. 3 Abs. 1 und Art. 4b Abs. 1 StHG ). Auch vor Bundesgericht stellen die Beschwerdeführer den Steueranspruch des Kantons St. Gallen respektive den angefochtenen Entscheid des Verwaltungsgerichts des Kantons St. Gallen nur eventualiter infrage. 4.2 Der Kanton Schwyz anerkennt vor Bundesgericht ausdrücklich, dass die Beschwerdeführer am Ende der streitbetroffenen Steuerperiode Wohnsitz im Kanton St. Gallen und nicht im Kanton Schwyz hatten. Daraus folgt notwendigerweise, dass die Veranlagung des Kantons Schwyz gegen harmonisiertes kantonales Steuerrecht verstösst. Ausserdem bedeutet diese doppelte Veranlagung der Beschwerdeführer eine interkantonale Doppelbesteuerung im Sinne von Art. 127 Abs. 3 BV (vgl. zum Begriff BGE 148 I 65 E. 3.1 mit Hinweisen). 4.3 Der Antrag der Beschwerdeführer auf Aufhebung der Veranlagung des Kantons Schwyz ist demnach grundsätzlich begründet. Fragen kann sich nur noch, ob diesem Antrag ein Rechtsmissbrauch entgegensteht. 4.4 Dies ist zu verneinen. 4.4.1 Abzulehnen ist in diesem Zusammenhang vorab eine in der Literatur vertretene Position, wonach bestimmte Verhaltensweisen über eine teleologische Auslegung von Art. 127 Abs. 3 BV vom Schutzbereich des Doppelbesteuerungsverbots auszunehmen sind (MARCEL R. JUNG, Treu und Glauben als Schranke des interkantonalen Doppelbesteuerungsverbots, StR 75/2020 S. 799 und 805 mit Hinweis auf THOMAS GÄCHTER, Rechtsmissbrauchsverbot im öffentlichen Recht, 2005, S. 304 ff. und 441 ff.). Wie bereits erwähnt, bezweckt das Doppelbesteuerungsverbot gemäss Art. 127 Abs. 3 BV einerseits den Schutz der steuerpflichtigen Person, andererseits den Schutz der Steuerhoheit des berechtigten Kantons (vgl. oben E. 2.5.1). Es überzeugt nicht, diesen Zweck um Verhaltensgebote zugunsten des unberechtigten Kantons anzureichern und das Doppelbesteuerungsverbot einschliesslich des verfassungsmässigen Rechts der steuerpflichtigen Person auf diese Weise teleologisch einzuschränken (so aber JUNG, a.a.O., S. 799 ff.). Hinzu kommt, dass dieser Ansatz ins Leere greift, wenn die Veranlagung des unberechtigten Kantons wie im vorliegenden Fall bereits gegen das harmonisierte kantonale Steuerrecht verstösst, sodass sich die steuerpflichtige Person auf BGE 149 II 354 S. 365 materiell-rechtlicher Ebene gar nicht erst auf Art. 127 Abs. 3 BV zu berufen braucht (vgl. zur Rangfolge zwischen dem harmonisierten kantonalen Steuerrecht und dem interkantonalen Doppelbesteuerungsrecht BGE 148 I 65 E. 3.2). 4.4.2 Andere Autoren erwägen, dass steuerpflichtige Personen ihren Anspruch auf Beseitigung der interkantonalen Doppelbesteuerung aus Art. 127 Abs. 3 BV materiell-rechtlich verlören, wenn sie sich widersprüchlich oder anderweitig missbräuchlich verhielten (vgl. BRUNNER/BEUSCH, a.a.O., § 42 N. 17; DE VRIES-REILINGH, a.a.O., FStR 2021 S. 362). Eine solche materiell-rechtliche "Verwirkung des Schutzes des Doppelbesteuerungsverbots" (BRUNNER/BEUSCH, a.a.O., § 42 N. 17) erscheint zwar nicht von vornherein als ausgeschlossen. Bei der Berufung auf das Verbot widersprüchlichen Verhaltens ist jedoch praxisgemäss - insbesondere bei passivem Verhalten - Zurückhaltung angebracht, da dies stets auf eine Verkürzung der gesetzlichen Rechtspositionen der Bürgerinnen und Bürger hinausläuft ( BGE 143 V 66 E. 4.3 mit Hinweis auf GÄCHTER, a.a.O., S. 194 ff., S. 197). Vor diesem Hintergrund könnte die Beseitigung einer grundsätzlich verfassungswidrigen interkantonalen Doppelbesteuerung nur dann verweigert werden, wenn sich das Verhalten einer doppelt besteuerten Person als qualifiziert missbräuchlich erweist und der betroffene Kanton zugleich ausnahmsweise ein legitimes Interesse daran hat, bezogene Steuern einzubehalten, obschon er nach interkantonalem Doppelbesteuerungsrecht oder sogar bereits nach harmonisiertem Steuerrecht keinen Steueranspruch hat (vgl. allgemein zur erforderlichen Interessenabwägung bei widersprüchlichem Verhalten Privater GÄCHTER, a.a.O., S. 203 ff.). Eine solche Ausnahmekonstellation ist hier klarerweise nicht gegeben. Weder wiegt das Fehlverhalten der Beschwerdeführer gegenüber dem Kanton Schwyz - aus steuerlicher Sicht - besonders schwer, noch erscheinen die Interessen des Kantons Schwyz als besonders beeinträchtigt, wenn er zur Rückerstattung der bezogenen Steuern verpflichtet wird. Inwieweit das Fehlverhalten der Beschwerdeführer dazu führt, dass ihnen Verfahrenskosten aufzuerlegen sind (vgl. oben E. 2.5.1), ist unter dem Titel der Verlegung der Kosten- und Entschädigungsfolgen zu erörtern (vgl. unten E. 5.2).</w:t>
      </w:r>
    </w:p>
    <w:p>
      <w:r>
        <w:rPr>
          <w:b/>
        </w:rPr>
        <w:t>E. 5</w:t>
      </w:r>
    </w:p>
    <w:p>
      <w:r>
        <w:t>I 141 E. 1). In der damaligen Zeit verstand das Bundesgericht die interkantonale Doppelbesteuerung zumindest primär als Souveränitätskonflikt zwischen zwei Kantonen. Es beschränkte sich vorerst darauf, die zuvor von der Bundesversammlung entwickelte Doppelbesteuerungspraxis fortzuführen. Erst später ging es dazu über, aus Art. 46 Abs. 2 aBV ein verfassungsmässiges Verbot der interkantonalen Doppelbesteuerung abzuleiten, das neben dem berechtigten Kanton auch den Einzelnen vor interkantonaler Doppelbesteuerung schützte (vgl. BGE 37 I 37 E. 2; vgl. auch BGE 41 I 68 E. 1 ; 38 I 478 E. 1; zum Ganzen ANDREAS THIER, Traditionselemente des Finanzföderalismus in der Schweiz: Zur Geschichte des interkantonalen Doppelbesteuerungsverbots, in: Dogmatik und Praxis im Steuerrecht, Festschrift für Markus Reich, 2014, S. 18 ff.; MORITZ SEILER, Finanzföderalistische Friktionen, in: (... Titel auf Altgriechisch) - gehorche den Gesetzen, Liber amicorum für Hansjörg Seiler, 2022, S. 212 f.). Gleich wie die Verwirkung des Besteuerungsrechts des zweitveranlagenden Kantons (vgl. dazu BGE 147 I 325 E. 4.2.2; BGE 137 I 273 E. 3.3.4) sollte das Institut der Verwirkung des Beschwerderechts den erstveranlagenden Kanton davor schützen, aufgrund einer rechtskräftigen Veranlagung bezogene Steuern Jahre später noch zurückerstatten zu müssen (vgl. BGE 73 I 223 E. 3). Wie das Bundesgericht bereits in BGE 147 I 325 E. 4.2.1 angedeutet hat, geht dieser Schutz der Kantone auf Kosten des Doppelbesteuerungsverbots und des darin enthaltenen verfassungsmässigen Rechts der steuerpflichtigen Person. Im Geltungsbereich von Art. 46 Abs. 2 aBV liess sich ein solcher Eingriff zum Schutz der steuererhebenden Kantone eher noch rechtfertigen, zumal das Doppelbesteuerungsverbot und das Individualrecht der steuerpflichtigen Person nicht unmittelbar aus dem Wortlaut der Verfassung, sondern erst aus der über die Jahre zu Art. 46 Abs. 2 aBV entwickelten Praxis folgten. Ausserdem war für die Kantone gerade in der Anfangszeit der Rechtsprechung auf dem Gebiet der interkantonalen Doppelbesteuerung regelmässig nicht absehbar, welchem Kanton das BGE 149 II 354 S. 360 Bundesgericht das Besteuerungsrecht zuweisen würde. Mit Art. 127 Abs. 3 BV verbietet das geschriebene Verfassungsrecht die interkantonale Doppelbesteuerung nunmehr jedoch ausdrücklich. Aus den Materialien ergibt sich, dass damit das verfassungsmässige Recht der steuerpflichtigen Person kodifiziert werden sollte (vgl. Botschaft vom 20. November 1996 über eine neue Bundesverfassung, BBl 1996 I 346 [zu Art. 118 E-BV]). Zudem besteht heute dank der jahrzehntelangen Rechtsprechung im Bereich der interkantonalen Doppelbesteuerung kaum mehr Rechtsunsicherheit, wenn es um die Frage geht, welchem Kanton das Besteuerungsrecht zukommt.</w:t>
      </w:r>
    </w:p>
    <w:p>
      <w:r>
        <w:rPr>
          <w:b/>
        </w:rPr>
        <w:t>E. 5.1</w:t>
      </w:r>
    </w:p>
    <w:p>
      <w:r>
        <w:t>Die Beschwerde erweist sich als begründet und ist gutzuheissen, soweit sie sich gegen den Kanton Schwyz richtet. Der BGE 149 II 354 S. 366 Eventualantrag gegen den Kanton St. Gallen wird dadurch gegenstandslos (Urteile 2C_615/2021 vom 23. September 2022 E. 4; 2C_830/2021 vom 14. Juni 2022 E. 6.2).</w:t>
      </w:r>
    </w:p>
    <w:p>
      <w:r>
        <w:rPr>
          <w:b/>
        </w:rPr>
        <w:t>E. 5.2</w:t>
      </w:r>
    </w:p>
    <w:p>
      <w:r>
        <w:t>Bei diesem Verfahrensausgang wäre der unterliegende Kanton grundsätzlich zur Bezahlung der Gerichtskosten und einer Parteientschädigung zu verpflichten (vgl. Urteil 2C_615/2021 vom 23. September 2022 E. 4). Es ist jedoch zu prüfen, ob es sich angesichts des Verhaltens der Beschwerdeführer rechtfertigt, die Kosten- und Entschädigungsfolgen - auch des kantonalen Verfahrens ( Art. 68 Abs. 5 BGG ) - anders zu verlegen (vgl. auch oben E. 2.5.1 und 4.4.2).</w:t>
      </w:r>
    </w:p>
    <w:p>
      <w:r>
        <w:rPr>
          <w:b/>
        </w:rPr>
        <w:t>E. 5.2.1</w:t>
      </w:r>
    </w:p>
    <w:p>
      <w:r>
        <w:t>Der Kanton Schwyz macht geltend, dass sich die Beschwerdeführer am 12. April 2018 in der Gemeinde Y./SZ angemeldet hätten. Diese Anmeldung sei vermutlich erfolgt, damit die Beschwerdeführer respektive ihre Kinder zu günstigeren Konditionen vom Bildungsangebot an zwei Schulen im Kanton Schwyz (Kantonsschule C. und Musikschule Y.) profitieren konnten. Hingegen behauptet der Kanton Schwyz nicht, dass die Beschwerdeführer versucht hätten, sich der Besteuerung durch den Kanton St. Gallen zu entziehen. Das Verwaltungsgericht des Kantons St. Gallen (vgl. angefochtenes Urteil Bst. A.a), die Beschwerdeführer und der Kanton Schwyz weisen auf ein Schreiben vom 30. April 2018 an die Steuerverwaltung der Stadt U. hin. In diesem Schreiben machten die Beschwerdeführer darauf aufmerksam, dass sie ihren zivilrechtlichen Wohnsitz in den Kanton Schwyz verlegt hätten, dies aber auf die steuerliche Situation keinen Einfluss habe, weil sich der Lebensmittelpunkt der Familie weiterhin in U. befinde. Am 3. Juli 2018 teilte die Leiterin der Steuerverwaltung der Stadt U. der Steuervertreterin der Beschwerdeführer mit, dass sie nun endlich - nach Wochen - das Steueramt V./SZ telefonisch erreicht habe. Dieses habe auf der primären Steuerpflicht im Kanton Schwyz bestanden, weil der Wohnsitz massgebend sei. Sie habe die Steuerpflicht im sankt-gallischen Register auf eine sekundäre Steuerpflicht angepasst, sodass nun keine Zahlungen mehr zu leisten seien. Nach dieser Auskunft reichten die Beschwerdeführer im Kanton Schwyz eine Steuererklärung ein, die sie am 26. Juni 2019 in Kopie der Steuerverwaltung der Stadt U. zustellten ( Art. 105 Abs. 2 BGG ).</w:t>
      </w:r>
    </w:p>
    <w:p>
      <w:r>
        <w:rPr>
          <w:b/>
        </w:rPr>
        <w:t>E. 5.2.2</w:t>
      </w:r>
    </w:p>
    <w:p>
      <w:r>
        <w:t>Durch ihre Anmeldung in der Gemeinde Y. haben die Beschwerdeführer eine Ursache dafür gesetzt, dass sie schliesslich für die Steuerperiode 2018 vom Kanton Schwyz veranlagt wurden. Im BGE 149 II 354 S. 367 Zeitpunkt der Veranlagung durch den Kanton Schwyz wussten sie zudem, dass der Kanton St. Gallen ihren Wohnsitz abklärte. Nach Treu und Glauben hätte von ihnen erwartet werden dürfen, dass sie die Schwyzer Veranlagungsbehörde hierüber informieren. Diesem Fehlverhalten der Beschwerdeführer stehen Versäumnisse seitens der Behörden des Kantons Schwyz gegenüber. Gemäss dem Einspracheentscheid des Kantonalen Steueramts St. Gallen hatte dieses im Januar 2020 "direkt beim Kanton Schwyz oder möglicherweise in Y. nachgefragt [...], ob die Veranlagung 2018 bereits vorgenommen" worden sei. Die Steuerverwaltung des Kantons Schwyz stellt dies nicht in Abrede. Das Gemeindesteueramt V./SZ war derweil laut der Leiterin der Steuerverwaltung der Stadt U. sogar bereits 2018 über die Situation der Beschwerdeführer informiert worden. In Anbetracht dessen, dass die Beschwerdeführer für das streitbetroffene Jahr in der Arztpraxis des Beschwerdeführers angemeldet waren, hätte dies Anlass genug sein müssen, um weitere Abklärungen zu treffen.</w:t>
      </w:r>
    </w:p>
    <w:p>
      <w:r>
        <w:rPr>
          <w:b/>
        </w:rPr>
        <w:t>E. 5.2.3</w:t>
      </w:r>
    </w:p>
    <w:p>
      <w:r>
        <w:t>Ob die Anmeldung der Beschwerdeführer im Kanton Schwyz dazu diente, von günstigeren Schulgebühren zu profitieren, ist entgegen dem Kanton Schwyz für das steuerrechtliche Verfahren ohne Belang. Welche Konsequenzen eine solche Anmeldung auf schul- bzw. schulgebührenrechtlicher Ebene nach sich zieht, ist demnach an dieser Stelle nicht zu beurteilen.</w:t>
      </w:r>
    </w:p>
    <w:p>
      <w:r>
        <w:rPr>
          <w:b/>
        </w:rPr>
        <w:t>E. 5.3</w:t>
      </w:r>
    </w:p>
    <w:p>
      <w:r>
        <w:t>Das Verhalten der Beschwerdeführer gegenüber dem Kanton Schwyz ist mit Treu und Glauben nicht zu vereinbaren. Allerdings haben sich auch die Behörden des Kantons Schwyz nicht einwandfrei verhalten. Vor diesem Hintergrund erscheint es als angemessen, die Gerichtskosten - trotz Obsiegens der Beschwerdeführer - zu drei Vierteln den Beschwerdeführern und zu einem Viertel dem Kanton Schwyz aufzuerlegen und keine Parteientschädigungen zuzusprechen ( Art. 66 Abs. 1 und Art. 68 Abs. 1 BGG ). Für das kantonale Verfahren rechtfertigt sich keine abweichende Verteilung der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